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39" w:rsidRDefault="00D61754" w:rsidP="00D61754">
      <w:pPr>
        <w:tabs>
          <w:tab w:val="center" w:pos="4819"/>
          <w:tab w:val="right" w:pos="9071"/>
        </w:tabs>
        <w:overflowPunct w:val="0"/>
        <w:jc w:val="center"/>
        <w:textAlignment w:val="baseline"/>
        <w:rPr>
          <w:b/>
          <w:bCs/>
          <w:szCs w:val="24"/>
        </w:rPr>
      </w:pPr>
      <w:r>
        <w:rPr>
          <w:b/>
          <w:bCs/>
          <w:noProof/>
          <w:szCs w:val="24"/>
          <w:lang w:eastAsia="lt-LT"/>
        </w:rPr>
        <w:drawing>
          <wp:inline distT="0" distB="0" distL="0" distR="0" wp14:anchorId="3F691BEF" wp14:editId="3E6165CF">
            <wp:extent cx="542925" cy="5524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D39" w:rsidRDefault="00B83D39">
      <w:pPr>
        <w:rPr>
          <w:sz w:val="2"/>
          <w:szCs w:val="2"/>
        </w:rPr>
      </w:pPr>
    </w:p>
    <w:p w:rsidR="00B83D39" w:rsidRDefault="00B83D39">
      <w:pPr>
        <w:ind w:firstLine="29"/>
        <w:jc w:val="center"/>
        <w:rPr>
          <w:b/>
          <w:bCs/>
          <w:szCs w:val="24"/>
        </w:rPr>
      </w:pPr>
    </w:p>
    <w:p w:rsidR="00B83D39" w:rsidRDefault="00B83D39">
      <w:pPr>
        <w:rPr>
          <w:sz w:val="2"/>
          <w:szCs w:val="2"/>
        </w:rPr>
      </w:pPr>
    </w:p>
    <w:p w:rsidR="00B83D39" w:rsidRDefault="00D6175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LIETUVOS RESPUBLIKOS ŠVIETIMO, MOKSLO IR SPORTO MINISTRAS</w:t>
      </w:r>
    </w:p>
    <w:p w:rsidR="00B83D39" w:rsidRDefault="00B83D39">
      <w:pPr>
        <w:rPr>
          <w:sz w:val="2"/>
          <w:szCs w:val="2"/>
        </w:rPr>
      </w:pPr>
    </w:p>
    <w:p w:rsidR="00B83D39" w:rsidRDefault="00B83D39">
      <w:pPr>
        <w:overflowPunct w:val="0"/>
        <w:jc w:val="center"/>
        <w:textAlignment w:val="baseline"/>
      </w:pPr>
    </w:p>
    <w:p w:rsidR="00B83D39" w:rsidRDefault="00B83D39">
      <w:pPr>
        <w:rPr>
          <w:sz w:val="2"/>
          <w:szCs w:val="2"/>
        </w:rPr>
      </w:pPr>
    </w:p>
    <w:p w:rsidR="00B83D39" w:rsidRDefault="00D61754">
      <w:pPr>
        <w:overflowPunct w:val="0"/>
        <w:jc w:val="center"/>
        <w:textAlignment w:val="baseline"/>
        <w:rPr>
          <w:b/>
          <w:bCs/>
          <w:szCs w:val="24"/>
        </w:rPr>
      </w:pPr>
      <w:r>
        <w:rPr>
          <w:b/>
          <w:bCs/>
          <w:szCs w:val="24"/>
        </w:rPr>
        <w:t>ĮSAKYMAS</w:t>
      </w:r>
    </w:p>
    <w:p w:rsidR="00B83D39" w:rsidRDefault="00B83D39">
      <w:pPr>
        <w:rPr>
          <w:sz w:val="2"/>
          <w:szCs w:val="2"/>
        </w:rPr>
      </w:pPr>
    </w:p>
    <w:p w:rsidR="00B83D39" w:rsidRDefault="00D61754">
      <w:pPr>
        <w:overflowPunct w:val="0"/>
        <w:jc w:val="center"/>
        <w:textAlignment w:val="baseline"/>
        <w:rPr>
          <w:b/>
          <w:bCs/>
          <w:szCs w:val="24"/>
        </w:rPr>
      </w:pPr>
      <w:r>
        <w:rPr>
          <w:b/>
          <w:bCs/>
          <w:szCs w:val="24"/>
        </w:rPr>
        <w:t xml:space="preserve">DĖL ŠVIETIMO, MOKSLO IR SPORTO MINISTRO 2021 M. GEGUŽĖS 3 D. ĮSAKYMO NR. V-688 „DĖL 2021–2022 IR 2022–2023 </w:t>
      </w:r>
      <w:r>
        <w:rPr>
          <w:b/>
          <w:bCs/>
          <w:caps/>
          <w:szCs w:val="24"/>
        </w:rPr>
        <w:t>MOKSLO METŲ Pradinio, PAGRINDINIO IR VIDURINIO UGDYMO PROGRAMŲ BENDRŲJŲ UGDYMO PLANŲ PATVIRTINIMO“ PAKEITIMO</w:t>
      </w:r>
    </w:p>
    <w:p w:rsidR="00B83D39" w:rsidRDefault="00B83D39">
      <w:pPr>
        <w:rPr>
          <w:sz w:val="2"/>
          <w:szCs w:val="2"/>
        </w:rPr>
      </w:pPr>
    </w:p>
    <w:p w:rsidR="00D61754" w:rsidRDefault="00D61754" w:rsidP="00D61754">
      <w:pPr>
        <w:overflowPunct w:val="0"/>
        <w:jc w:val="center"/>
        <w:textAlignment w:val="baseline"/>
        <w:rPr>
          <w:b/>
          <w:bCs/>
          <w:caps/>
        </w:rPr>
      </w:pPr>
    </w:p>
    <w:p w:rsidR="00D61754" w:rsidRDefault="00D61754" w:rsidP="00D61754">
      <w:pPr>
        <w:keepNext/>
        <w:overflowPunct w:val="0"/>
        <w:jc w:val="center"/>
        <w:textAlignment w:val="baseline"/>
        <w:outlineLvl w:val="2"/>
      </w:pPr>
      <w:r>
        <w:t xml:space="preserve">2021 m. gegužės 25 d. Nr. </w:t>
      </w:r>
      <w:r w:rsidRPr="00D61754">
        <w:t>V-876</w:t>
      </w:r>
    </w:p>
    <w:p w:rsidR="00D61754" w:rsidRDefault="00D61754" w:rsidP="00D61754">
      <w:pPr>
        <w:overflowPunct w:val="0"/>
        <w:jc w:val="center"/>
        <w:textAlignment w:val="baseline"/>
        <w:rPr>
          <w:szCs w:val="24"/>
        </w:rPr>
      </w:pPr>
      <w:smartTag w:uri="urn:schemas-tilde-lv/tildestengine" w:element="firmas">
        <w:r>
          <w:rPr>
            <w:szCs w:val="24"/>
          </w:rPr>
          <w:t>Vilnius</w:t>
        </w:r>
      </w:smartTag>
    </w:p>
    <w:p w:rsidR="00D61754" w:rsidRDefault="00D61754">
      <w:pPr>
        <w:overflowPunct w:val="0"/>
        <w:jc w:val="center"/>
        <w:textAlignment w:val="baseline"/>
        <w:rPr>
          <w:b/>
          <w:bCs/>
          <w:caps/>
        </w:rPr>
      </w:pPr>
    </w:p>
    <w:p w:rsidR="00D61754" w:rsidRDefault="00D61754">
      <w:pPr>
        <w:overflowPunct w:val="0"/>
        <w:jc w:val="center"/>
        <w:textAlignment w:val="baseline"/>
        <w:rPr>
          <w:b/>
          <w:bCs/>
          <w:caps/>
        </w:rPr>
      </w:pPr>
    </w:p>
    <w:p w:rsidR="00B83D39" w:rsidRDefault="00D61754">
      <w:pPr>
        <w:overflowPunct w:val="0"/>
        <w:ind w:firstLine="1253"/>
        <w:jc w:val="both"/>
        <w:textAlignment w:val="baseline"/>
        <w:rPr>
          <w:szCs w:val="24"/>
        </w:rPr>
      </w:pPr>
      <w:r>
        <w:rPr>
          <w:szCs w:val="24"/>
        </w:rPr>
        <w:t>P a k e i č i u 2021–2022 ir</w:t>
      </w:r>
      <w:r>
        <w:rPr>
          <w:szCs w:val="24"/>
        </w:rPr>
        <w:t xml:space="preserve"> 2022–2023 mokslo metų pradinio, pagrindinio ir vidurinio ugdymo programų bendruosius ugdymo planus, patvirtintus Lietuvos Respublikos švietimo, mokslo ir sporto ministro 2021 m. gegužės 3 d. įsakymu Nr. V-688 „Dėl 2021–2022 ir 2022–2023 mokslo metų pradin</w:t>
      </w:r>
      <w:r>
        <w:rPr>
          <w:szCs w:val="24"/>
        </w:rPr>
        <w:t>io, pagrindinio ir vidurinio ugdymo programų bendrųjų ugdymo planų patvirtinimo“:</w:t>
      </w:r>
    </w:p>
    <w:p w:rsidR="00B83D39" w:rsidRDefault="00D61754">
      <w:pPr>
        <w:rPr>
          <w:sz w:val="2"/>
          <w:szCs w:val="2"/>
        </w:rPr>
      </w:pPr>
    </w:p>
    <w:p w:rsidR="00B83D39" w:rsidRDefault="00D61754">
      <w:pPr>
        <w:overflowPunct w:val="0"/>
        <w:ind w:left="1613" w:hanging="360"/>
        <w:jc w:val="both"/>
        <w:textAlignment w:val="baseline"/>
        <w:rPr>
          <w:szCs w:val="24"/>
        </w:rPr>
      </w:pPr>
      <w:r>
        <w:rPr>
          <w:szCs w:val="24"/>
        </w:rPr>
        <w:t>1</w:t>
      </w:r>
      <w:r>
        <w:rPr>
          <w:szCs w:val="24"/>
        </w:rPr>
        <w:t>.</w:t>
      </w:r>
      <w:r>
        <w:rPr>
          <w:szCs w:val="24"/>
        </w:rPr>
        <w:tab/>
        <w:t>Papildau 16.9 papunkčiu:</w:t>
      </w:r>
    </w:p>
    <w:p w:rsidR="00B83D39" w:rsidRDefault="00D61754">
      <w:pPr>
        <w:overflowPunct w:val="0"/>
        <w:ind w:firstLine="1276"/>
        <w:jc w:val="both"/>
        <w:textAlignment w:val="baseline"/>
        <w:rPr>
          <w:szCs w:val="24"/>
        </w:rPr>
      </w:pPr>
      <w:r>
        <w:rPr>
          <w:szCs w:val="24"/>
        </w:rPr>
        <w:t>„</w:t>
      </w:r>
      <w:r>
        <w:rPr>
          <w:szCs w:val="24"/>
        </w:rPr>
        <w:t>16.9</w:t>
      </w:r>
      <w:r>
        <w:rPr>
          <w:szCs w:val="24"/>
        </w:rPr>
        <w:t>. pamokų / dienų skaičius, skirtas mokinių pažintinei, kultūrinei, meninei, kūrybinei veiklai.“</w:t>
      </w:r>
    </w:p>
    <w:p w:rsidR="00B83D39" w:rsidRDefault="00D61754">
      <w:pPr>
        <w:rPr>
          <w:sz w:val="2"/>
          <w:szCs w:val="2"/>
        </w:rPr>
      </w:pPr>
    </w:p>
    <w:p w:rsidR="00B83D39" w:rsidRDefault="00D61754">
      <w:pPr>
        <w:overflowPunct w:val="0"/>
        <w:ind w:firstLine="1253"/>
        <w:jc w:val="both"/>
        <w:textAlignment w:val="baseline"/>
        <w:rPr>
          <w:szCs w:val="24"/>
        </w:rPr>
      </w:pPr>
      <w:r>
        <w:rPr>
          <w:szCs w:val="24"/>
        </w:rPr>
        <w:t>2</w:t>
      </w:r>
      <w:r>
        <w:rPr>
          <w:szCs w:val="24"/>
        </w:rPr>
        <w:t xml:space="preserve">. Pakeičiu 29 punktą ir jį </w:t>
      </w:r>
      <w:r>
        <w:rPr>
          <w:szCs w:val="24"/>
        </w:rPr>
        <w:t>išdėstau taip:</w:t>
      </w:r>
    </w:p>
    <w:p w:rsidR="00B83D39" w:rsidRDefault="00B83D39">
      <w:pPr>
        <w:rPr>
          <w:sz w:val="2"/>
          <w:szCs w:val="2"/>
        </w:rPr>
      </w:pPr>
    </w:p>
    <w:p w:rsidR="00B83D39" w:rsidRDefault="00D61754">
      <w:pPr>
        <w:overflowPunct w:val="0"/>
        <w:ind w:firstLine="1253"/>
        <w:jc w:val="both"/>
        <w:textAlignment w:val="baseline"/>
        <w:rPr>
          <w:szCs w:val="24"/>
        </w:rPr>
      </w:pPr>
      <w:r>
        <w:rPr>
          <w:szCs w:val="24"/>
        </w:rPr>
        <w:t>„</w:t>
      </w:r>
      <w:r>
        <w:rPr>
          <w:color w:val="000000"/>
          <w:szCs w:val="24"/>
        </w:rPr>
        <w:t>29</w:t>
      </w:r>
      <w:r>
        <w:rPr>
          <w:color w:val="000000"/>
          <w:szCs w:val="24"/>
        </w:rPr>
        <w:t>. Mokinio, kuris mokosi pagal pagrindinio ugdymo programą, vertinimo rezultatas fiksuojamas įrašu ir (arba) balu, taikant 10 balų vertinimo sistemą. Jei vertinama ne pagal šią sistemą, numatomas įvertinimų konvertavimo į pažymius pagal</w:t>
      </w:r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dešimtbalę</w:t>
      </w:r>
      <w:proofErr w:type="spellEnd"/>
      <w:r>
        <w:rPr>
          <w:color w:val="000000"/>
          <w:szCs w:val="24"/>
        </w:rPr>
        <w:t xml:space="preserve"> vertinimo skalę laikas, ne vėlesnis nei mokykloje nustatyto ugdymo laikotarpio, pavyzdžiui, trimestro, pusmečio, pabaiga. Neprivaloma konvertuoti, jeigu mokinio pasiekimai įvertinti įrašais „įskaityta“, „neįskaityta“, jeigu to nepageidauja moki</w:t>
      </w:r>
      <w:r>
        <w:rPr>
          <w:color w:val="000000"/>
          <w:szCs w:val="24"/>
        </w:rPr>
        <w:t>nys ar jo tėvai (globėjai, rūpintojai).“</w:t>
      </w:r>
    </w:p>
    <w:p w:rsidR="00B83D39" w:rsidRDefault="00D61754">
      <w:pPr>
        <w:rPr>
          <w:sz w:val="2"/>
          <w:szCs w:val="2"/>
        </w:rPr>
      </w:pPr>
    </w:p>
    <w:p w:rsidR="00B83D39" w:rsidRDefault="00D61754">
      <w:pPr>
        <w:overflowPunct w:val="0"/>
        <w:ind w:firstLine="1253"/>
        <w:jc w:val="both"/>
        <w:textAlignment w:val="baseline"/>
        <w:rPr>
          <w:szCs w:val="24"/>
        </w:rPr>
      </w:pPr>
      <w:r>
        <w:rPr>
          <w:szCs w:val="24"/>
        </w:rPr>
        <w:t>3</w:t>
      </w:r>
      <w:r>
        <w:rPr>
          <w:szCs w:val="24"/>
        </w:rPr>
        <w:t>. Pakeičiu 53.5 papunktį ir jį išdėstau taip:</w:t>
      </w:r>
    </w:p>
    <w:p w:rsidR="00B83D39" w:rsidRDefault="00B83D39">
      <w:pPr>
        <w:rPr>
          <w:sz w:val="2"/>
          <w:szCs w:val="2"/>
        </w:rPr>
      </w:pPr>
    </w:p>
    <w:p w:rsidR="00B83D39" w:rsidRDefault="00D61754">
      <w:pPr>
        <w:overflowPunct w:val="0"/>
        <w:ind w:firstLine="1253"/>
        <w:jc w:val="both"/>
        <w:textAlignment w:val="baseline"/>
        <w:rPr>
          <w:color w:val="000000"/>
          <w:szCs w:val="24"/>
        </w:rPr>
      </w:pPr>
      <w:r>
        <w:rPr>
          <w:color w:val="000000"/>
          <w:szCs w:val="24"/>
        </w:rPr>
        <w:t>„</w:t>
      </w:r>
      <w:r>
        <w:rPr>
          <w:color w:val="000000"/>
          <w:szCs w:val="24"/>
        </w:rPr>
        <w:t>53.5</w:t>
      </w:r>
      <w:r>
        <w:rPr>
          <w:color w:val="000000"/>
          <w:szCs w:val="24"/>
        </w:rPr>
        <w:t xml:space="preserve">. lietuvių kalbai ir literatūrai mokyti mokykloje, kurioje įteisintas mokymas tautinės mažumos kalba (kalbos), klasėje esant ne mažiau kaip 18 mokinių </w:t>
      </w:r>
      <w:r>
        <w:rPr>
          <w:color w:val="000000"/>
          <w:szCs w:val="24"/>
        </w:rPr>
        <w:t>pagal pradinio ugdymo programą, 21 mokiniui – pagal pagrindinio ugdymo programą;“.</w:t>
      </w:r>
    </w:p>
    <w:p w:rsidR="00B83D39" w:rsidRDefault="00D61754">
      <w:pPr>
        <w:rPr>
          <w:sz w:val="2"/>
          <w:szCs w:val="2"/>
        </w:rPr>
      </w:pPr>
    </w:p>
    <w:p w:rsidR="00B83D39" w:rsidRDefault="00D61754">
      <w:pPr>
        <w:ind w:firstLine="1276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4</w:t>
      </w:r>
      <w:r>
        <w:rPr>
          <w:color w:val="000000"/>
          <w:szCs w:val="24"/>
          <w:lang w:eastAsia="lt-LT"/>
        </w:rPr>
        <w:t>. Papildau 53.7 papunkčiu:</w:t>
      </w:r>
    </w:p>
    <w:p w:rsidR="00B83D39" w:rsidRDefault="00D61754" w:rsidP="00D61754">
      <w:pPr>
        <w:ind w:firstLine="1276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„</w:t>
      </w:r>
      <w:r>
        <w:rPr>
          <w:color w:val="000000"/>
          <w:szCs w:val="24"/>
          <w:lang w:eastAsia="lt-LT"/>
        </w:rPr>
        <w:t>53.7</w:t>
      </w:r>
      <w:r>
        <w:rPr>
          <w:color w:val="000000"/>
          <w:szCs w:val="24"/>
          <w:lang w:eastAsia="lt-LT"/>
        </w:rPr>
        <w:t>. lietuvių kalbai mokyti mokykloje, kurioje įteisintas mokymas tautinės mažumos kalba (kalbos), jungtinėje pradinio ugdymo klasėj</w:t>
      </w:r>
      <w:r>
        <w:rPr>
          <w:color w:val="000000"/>
          <w:szCs w:val="24"/>
          <w:lang w:eastAsia="lt-LT"/>
        </w:rPr>
        <w:t>e, kai jungiamos 2 klasės, klasėje esant ne mažiau kaip 12, kai jungiamos 3 klasės – ne mažiau kaip 10 mokinių, jei jungiamos 4 klasės – ne mažiau kaip 8 mokiniai, jei mokykla turi pakankamai mokymo lėšų.“</w:t>
      </w:r>
    </w:p>
    <w:p w:rsidR="00B83D39" w:rsidRDefault="00D61754">
      <w:pPr>
        <w:overflowPunct w:val="0"/>
        <w:ind w:firstLine="1253"/>
        <w:jc w:val="both"/>
        <w:textAlignment w:val="baseline"/>
        <w:rPr>
          <w:szCs w:val="24"/>
        </w:rPr>
      </w:pPr>
      <w:r>
        <w:rPr>
          <w:szCs w:val="24"/>
        </w:rPr>
        <w:t>5</w:t>
      </w:r>
      <w:r>
        <w:rPr>
          <w:szCs w:val="24"/>
        </w:rPr>
        <w:t>. Pakeičiu 54 punktą ir jį išdėsta</w:t>
      </w:r>
      <w:r>
        <w:rPr>
          <w:szCs w:val="24"/>
        </w:rPr>
        <w:t>u taip:</w:t>
      </w:r>
    </w:p>
    <w:p w:rsidR="00B83D39" w:rsidRDefault="00B83D39">
      <w:pPr>
        <w:rPr>
          <w:sz w:val="2"/>
          <w:szCs w:val="2"/>
        </w:rPr>
      </w:pPr>
    </w:p>
    <w:p w:rsidR="00B83D39" w:rsidRDefault="00D61754">
      <w:pPr>
        <w:ind w:firstLine="1276"/>
        <w:jc w:val="both"/>
        <w:rPr>
          <w:color w:val="000000"/>
          <w:sz w:val="2"/>
          <w:szCs w:val="2"/>
          <w:lang w:eastAsia="lt-LT"/>
        </w:rPr>
      </w:pPr>
      <w:r>
        <w:rPr>
          <w:color w:val="000000"/>
          <w:szCs w:val="24"/>
        </w:rPr>
        <w:t>„</w:t>
      </w:r>
      <w:r>
        <w:rPr>
          <w:color w:val="000000"/>
          <w:szCs w:val="24"/>
        </w:rPr>
        <w:t>54</w:t>
      </w:r>
      <w:r>
        <w:rPr>
          <w:color w:val="000000"/>
          <w:szCs w:val="24"/>
        </w:rPr>
        <w:t>. Mokykloje, kuri pagal Mokymo lėšų apskaičiavimo, paskirstymo ir panaudojimo tvarkos aprašą, patvirtintą Lietuvos Respublikos Vyriausybės 2018 m. liepos 11 d. nutarimu Nr. 679 „Dėl Mokymo lėšų apskaičiavimo, paskirstymo ir panaudojimo tvarko</w:t>
      </w:r>
      <w:r>
        <w:rPr>
          <w:color w:val="000000"/>
          <w:szCs w:val="24"/>
        </w:rPr>
        <w:t>s aprašo patvirtinimo“,</w:t>
      </w:r>
      <w:r>
        <w:rPr>
          <w:color w:val="000000"/>
          <w:szCs w:val="24"/>
          <w:bdr w:val="none" w:sz="0" w:space="0" w:color="auto" w:frame="1"/>
        </w:rPr>
        <w:t> </w:t>
      </w:r>
      <w:r>
        <w:rPr>
          <w:color w:val="000000"/>
          <w:szCs w:val="24"/>
        </w:rPr>
        <w:t>yra daugiakalbėje aplinkoje, sudaromos laikinosios grupės lietuvių kalbai ir literatūrai mokyti, esant klasėje ne mažiau 18 mokinių pagal pradinio ugdymo programą, 21 mokiniui – pagal pagrindinio ugdymo programą.“</w:t>
      </w:r>
      <w:r>
        <w:rPr>
          <w:color w:val="000000"/>
          <w:sz w:val="2"/>
          <w:szCs w:val="2"/>
          <w:lang w:eastAsia="lt-LT"/>
        </w:rPr>
        <w:t> </w:t>
      </w:r>
    </w:p>
    <w:p w:rsidR="00B83D39" w:rsidRDefault="00D61754">
      <w:pPr>
        <w:ind w:firstLine="1276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6</w:t>
      </w:r>
      <w:r>
        <w:rPr>
          <w:color w:val="000000"/>
          <w:szCs w:val="24"/>
          <w:lang w:eastAsia="lt-LT"/>
        </w:rPr>
        <w:t xml:space="preserve">. </w:t>
      </w:r>
      <w:r>
        <w:rPr>
          <w:color w:val="000000"/>
          <w:szCs w:val="24"/>
          <w:lang w:eastAsia="lt-LT"/>
        </w:rPr>
        <w:t>Papildau 54</w:t>
      </w:r>
      <w:r>
        <w:rPr>
          <w:color w:val="000000"/>
          <w:szCs w:val="24"/>
          <w:vertAlign w:val="superscript"/>
          <w:lang w:eastAsia="lt-LT"/>
        </w:rPr>
        <w:t>1</w:t>
      </w:r>
      <w:r>
        <w:rPr>
          <w:color w:val="000000"/>
          <w:szCs w:val="24"/>
          <w:lang w:eastAsia="lt-LT"/>
        </w:rPr>
        <w:t xml:space="preserve"> papunkčiu:</w:t>
      </w:r>
    </w:p>
    <w:p w:rsidR="00B83D39" w:rsidRDefault="00D61754">
      <w:pPr>
        <w:ind w:firstLine="1276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„</w:t>
      </w:r>
      <w:r>
        <w:rPr>
          <w:color w:val="000000"/>
          <w:szCs w:val="24"/>
          <w:lang w:eastAsia="lt-LT"/>
        </w:rPr>
        <w:t>54</w:t>
      </w:r>
      <w:r>
        <w:rPr>
          <w:color w:val="000000"/>
          <w:szCs w:val="24"/>
          <w:vertAlign w:val="superscript"/>
          <w:lang w:eastAsia="lt-LT"/>
        </w:rPr>
        <w:t>1</w:t>
      </w:r>
      <w:r>
        <w:rPr>
          <w:color w:val="000000"/>
          <w:szCs w:val="24"/>
          <w:lang w:eastAsia="lt-LT"/>
        </w:rPr>
        <w:t xml:space="preserve">. </w:t>
      </w:r>
      <w:r>
        <w:rPr>
          <w:color w:val="000000"/>
          <w:szCs w:val="24"/>
        </w:rPr>
        <w:t xml:space="preserve">Mokykloje, kuri pagal Mokymo lėšų apskaičiavimo, paskirstymo ir panaudojimo tvarkos aprašą, patvirtintą Lietuvos Respublikos Vyriausybės 2018 m. liepos 11 d. nutarimu Nr. 679 </w:t>
      </w:r>
      <w:r>
        <w:rPr>
          <w:color w:val="000000"/>
          <w:szCs w:val="24"/>
        </w:rPr>
        <w:lastRenderedPageBreak/>
        <w:t>„Dėl Mokymo lėšų apskaičiavimo, paskirstymo ir pa</w:t>
      </w:r>
      <w:r>
        <w:rPr>
          <w:color w:val="000000"/>
          <w:szCs w:val="24"/>
        </w:rPr>
        <w:t>naudojimo tvarkos aprašo patvirtinimo“,</w:t>
      </w:r>
      <w:r>
        <w:rPr>
          <w:color w:val="000000"/>
          <w:szCs w:val="24"/>
          <w:bdr w:val="none" w:sz="0" w:space="0" w:color="auto" w:frame="1"/>
        </w:rPr>
        <w:t> </w:t>
      </w:r>
      <w:r>
        <w:rPr>
          <w:color w:val="000000"/>
          <w:szCs w:val="24"/>
        </w:rPr>
        <w:t xml:space="preserve">yra daugiakalbėje aplinkoje, sudaromos laikinosios grupės lietuvių kalbai mokyti </w:t>
      </w:r>
      <w:r>
        <w:rPr>
          <w:color w:val="000000"/>
          <w:szCs w:val="24"/>
          <w:lang w:eastAsia="lt-LT"/>
        </w:rPr>
        <w:t>pradinio ugdymo jungtinėse klasėse: kai jungiamos 2 klasės, esant ne mažiau kaip 12 mokinių; kai jungiamos 3 klasės – ne mažiau kaip 10</w:t>
      </w:r>
      <w:r>
        <w:rPr>
          <w:color w:val="000000"/>
          <w:szCs w:val="24"/>
          <w:lang w:eastAsia="lt-LT"/>
        </w:rPr>
        <w:t xml:space="preserve"> mokinių; kai jungiamos 4 klasės – ne mažiau kaip 8 mokiniai, jei mokykla turi pakankamai mokymo lėšų.“.</w:t>
      </w:r>
    </w:p>
    <w:p w:rsidR="00B83D39" w:rsidRDefault="00D61754">
      <w:pPr>
        <w:overflowPunct w:val="0"/>
        <w:ind w:firstLine="1253"/>
        <w:jc w:val="both"/>
        <w:textAlignment w:val="baseline"/>
        <w:rPr>
          <w:szCs w:val="24"/>
        </w:rPr>
      </w:pPr>
      <w:r>
        <w:rPr>
          <w:szCs w:val="24"/>
        </w:rPr>
        <w:t>7</w:t>
      </w:r>
      <w:r>
        <w:rPr>
          <w:szCs w:val="24"/>
        </w:rPr>
        <w:t>. Pakeičiu 75 punktą ir jį išdėstau taip:</w:t>
      </w:r>
    </w:p>
    <w:p w:rsidR="00B83D39" w:rsidRDefault="00B83D39">
      <w:pPr>
        <w:rPr>
          <w:sz w:val="2"/>
          <w:szCs w:val="2"/>
        </w:rPr>
      </w:pPr>
    </w:p>
    <w:p w:rsidR="00B83D39" w:rsidRDefault="00D61754">
      <w:pPr>
        <w:overflowPunct w:val="0"/>
        <w:spacing w:line="257" w:lineRule="atLeast"/>
        <w:ind w:firstLine="567"/>
        <w:jc w:val="both"/>
        <w:textAlignment w:val="baseline"/>
        <w:rPr>
          <w:color w:val="000000"/>
          <w:szCs w:val="24"/>
          <w:lang w:eastAsia="lt-LT"/>
        </w:rPr>
      </w:pPr>
      <w:r>
        <w:rPr>
          <w:szCs w:val="24"/>
        </w:rPr>
        <w:t>„</w:t>
      </w:r>
      <w:r>
        <w:rPr>
          <w:szCs w:val="24"/>
        </w:rPr>
        <w:t>75</w:t>
      </w:r>
      <w:r>
        <w:rPr>
          <w:szCs w:val="24"/>
        </w:rPr>
        <w:t xml:space="preserve">. </w:t>
      </w:r>
      <w:r>
        <w:rPr>
          <w:color w:val="000000"/>
          <w:szCs w:val="24"/>
          <w:lang w:eastAsia="lt-LT"/>
        </w:rPr>
        <w:t xml:space="preserve">Minimalus pamokų skaičius Pradinio ugdymo bendrajai programai įgyvendinti per dvejus mokslo </w:t>
      </w:r>
      <w:r>
        <w:rPr>
          <w:color w:val="000000"/>
          <w:szCs w:val="24"/>
          <w:lang w:eastAsia="lt-LT"/>
        </w:rPr>
        <w:t>metus ir per savaitę, kai pamokos trukmė 1 klasėje – 35 minutės ir 2–4 klasėse – 45 minutės:</w:t>
      </w:r>
    </w:p>
    <w:tbl>
      <w:tblPr>
        <w:tblW w:w="978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7"/>
        <w:gridCol w:w="1334"/>
        <w:gridCol w:w="1334"/>
        <w:gridCol w:w="1372"/>
        <w:gridCol w:w="1372"/>
        <w:gridCol w:w="1663"/>
      </w:tblGrid>
      <w:tr w:rsidR="00B83D39">
        <w:trPr>
          <w:jc w:val="center"/>
        </w:trPr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Klasė</w:t>
            </w:r>
          </w:p>
          <w:p w:rsidR="00B83D39" w:rsidRDefault="00B83D39">
            <w:pPr>
              <w:ind w:firstLine="53"/>
              <w:rPr>
                <w:sz w:val="20"/>
                <w:lang w:eastAsia="lt-LT"/>
              </w:rPr>
            </w:pPr>
          </w:p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Dalykai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 klasė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 klasė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 klasė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 klasė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Iš viso skiriama pamokų pradinio ugdymo programai</w:t>
            </w:r>
          </w:p>
        </w:tc>
      </w:tr>
      <w:tr w:rsidR="00B83D39">
        <w:trPr>
          <w:jc w:val="center"/>
        </w:trPr>
        <w:tc>
          <w:tcPr>
            <w:tcW w:w="27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D39" w:rsidRDefault="00D61754">
            <w:pPr>
              <w:spacing w:line="257" w:lineRule="atLeast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Dorinis ugdymas (tikyba arba etika)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35 (1)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35 (1)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35 (1)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35 (1)</w:t>
            </w:r>
          </w:p>
        </w:tc>
        <w:tc>
          <w:tcPr>
            <w:tcW w:w="16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140 (4)</w:t>
            </w:r>
          </w:p>
        </w:tc>
      </w:tr>
      <w:tr w:rsidR="00B83D3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D39" w:rsidRDefault="00B83D39">
            <w:pPr>
              <w:rPr>
                <w:sz w:val="20"/>
                <w:lang w:eastAsia="lt-LT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1–2 klasė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3–4 klasė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D39" w:rsidRDefault="00B83D39">
            <w:pPr>
              <w:rPr>
                <w:sz w:val="20"/>
                <w:lang w:eastAsia="lt-LT"/>
              </w:rPr>
            </w:pPr>
          </w:p>
        </w:tc>
      </w:tr>
      <w:tr w:rsidR="00B83D3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D39" w:rsidRDefault="00B83D39">
            <w:pPr>
              <w:rPr>
                <w:sz w:val="20"/>
                <w:lang w:eastAsia="lt-LT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70 (1; 1)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70 (1 ;1)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D39" w:rsidRDefault="00B83D39">
            <w:pPr>
              <w:rPr>
                <w:sz w:val="20"/>
                <w:lang w:eastAsia="lt-LT"/>
              </w:rPr>
            </w:pPr>
          </w:p>
        </w:tc>
      </w:tr>
      <w:tr w:rsidR="00B83D39">
        <w:trPr>
          <w:jc w:val="center"/>
        </w:trPr>
        <w:tc>
          <w:tcPr>
            <w:tcW w:w="27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D39" w:rsidRDefault="00D61754">
            <w:pPr>
              <w:spacing w:line="257" w:lineRule="atLeast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Lietuvių kalba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280 (8)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245 (7)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245 (7)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245 (7)</w:t>
            </w:r>
          </w:p>
        </w:tc>
        <w:tc>
          <w:tcPr>
            <w:tcW w:w="16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1015 (29)</w:t>
            </w:r>
          </w:p>
        </w:tc>
      </w:tr>
      <w:tr w:rsidR="00B83D3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D39" w:rsidRDefault="00B83D39">
            <w:pPr>
              <w:rPr>
                <w:sz w:val="20"/>
                <w:lang w:eastAsia="lt-LT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1–2 klasė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3–4 klasė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D39" w:rsidRDefault="00B83D39">
            <w:pPr>
              <w:rPr>
                <w:sz w:val="20"/>
                <w:lang w:eastAsia="lt-LT"/>
              </w:rPr>
            </w:pPr>
          </w:p>
        </w:tc>
      </w:tr>
      <w:tr w:rsidR="00B83D3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D39" w:rsidRDefault="00B83D39">
            <w:pPr>
              <w:rPr>
                <w:sz w:val="20"/>
                <w:lang w:eastAsia="lt-LT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525 (8; 7)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490 (7; 7)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D39" w:rsidRDefault="00B83D39">
            <w:pPr>
              <w:rPr>
                <w:sz w:val="20"/>
                <w:lang w:eastAsia="lt-LT"/>
              </w:rPr>
            </w:pPr>
          </w:p>
        </w:tc>
      </w:tr>
      <w:tr w:rsidR="00B83D39">
        <w:trPr>
          <w:trHeight w:val="453"/>
          <w:jc w:val="center"/>
        </w:trPr>
        <w:tc>
          <w:tcPr>
            <w:tcW w:w="27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D39" w:rsidRDefault="00D61754">
            <w:pPr>
              <w:spacing w:line="257" w:lineRule="atLeast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Gimtoji kalba (baltarusių, lenkų, rusų, vokiečių, kt.)</w:t>
            </w:r>
            <w:r>
              <w:rPr>
                <w:sz w:val="20"/>
                <w:vertAlign w:val="superscript"/>
                <w:lang w:eastAsia="lt-LT"/>
              </w:rPr>
              <w:t>*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245* (7*)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245* (7*)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245* (7*)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245* (7*)</w:t>
            </w:r>
          </w:p>
        </w:tc>
        <w:tc>
          <w:tcPr>
            <w:tcW w:w="16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980* (28*)</w:t>
            </w:r>
          </w:p>
        </w:tc>
      </w:tr>
      <w:tr w:rsidR="00B83D39">
        <w:trPr>
          <w:trHeight w:val="44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D39" w:rsidRDefault="00B83D39">
            <w:pPr>
              <w:rPr>
                <w:sz w:val="20"/>
                <w:lang w:eastAsia="lt-LT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1–2 klasė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3–4 klasė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D39" w:rsidRDefault="00B83D39">
            <w:pPr>
              <w:rPr>
                <w:sz w:val="20"/>
                <w:lang w:eastAsia="lt-LT"/>
              </w:rPr>
            </w:pPr>
          </w:p>
        </w:tc>
      </w:tr>
      <w:tr w:rsidR="00B83D39">
        <w:trPr>
          <w:trHeight w:val="3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D39" w:rsidRDefault="00B83D39">
            <w:pPr>
              <w:rPr>
                <w:sz w:val="20"/>
                <w:lang w:eastAsia="lt-LT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490* (7*; 7*)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490* (7*; 7*)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D39" w:rsidRDefault="00B83D39">
            <w:pPr>
              <w:rPr>
                <w:sz w:val="20"/>
                <w:lang w:eastAsia="lt-LT"/>
              </w:rPr>
            </w:pPr>
          </w:p>
        </w:tc>
      </w:tr>
      <w:tr w:rsidR="00B83D39">
        <w:trPr>
          <w:jc w:val="center"/>
        </w:trPr>
        <w:tc>
          <w:tcPr>
            <w:tcW w:w="27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D39" w:rsidRDefault="00D61754">
            <w:pPr>
              <w:spacing w:line="257" w:lineRule="atLeast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Lietuvių kalba</w:t>
            </w:r>
            <w:r>
              <w:rPr>
                <w:sz w:val="20"/>
                <w:vertAlign w:val="superscript"/>
                <w:lang w:eastAsia="lt-LT"/>
              </w:rPr>
              <w:t>*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175* (5*)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140* (4*)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175 (5*)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175 (5*)</w:t>
            </w:r>
          </w:p>
        </w:tc>
        <w:tc>
          <w:tcPr>
            <w:tcW w:w="16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665* (19*)</w:t>
            </w:r>
          </w:p>
        </w:tc>
      </w:tr>
      <w:tr w:rsidR="00B83D3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D39" w:rsidRDefault="00B83D39">
            <w:pPr>
              <w:rPr>
                <w:sz w:val="20"/>
                <w:lang w:eastAsia="lt-LT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1–2 klasė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3–4 klasė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D39" w:rsidRDefault="00B83D39">
            <w:pPr>
              <w:rPr>
                <w:sz w:val="20"/>
                <w:lang w:eastAsia="lt-LT"/>
              </w:rPr>
            </w:pPr>
          </w:p>
        </w:tc>
      </w:tr>
      <w:tr w:rsidR="00B83D3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D39" w:rsidRDefault="00B83D39">
            <w:pPr>
              <w:rPr>
                <w:sz w:val="20"/>
                <w:lang w:eastAsia="lt-LT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315* (5*; 4*)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350* (5*; 5*)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D39" w:rsidRDefault="00B83D39">
            <w:pPr>
              <w:rPr>
                <w:sz w:val="20"/>
                <w:lang w:eastAsia="lt-LT"/>
              </w:rPr>
            </w:pPr>
          </w:p>
        </w:tc>
      </w:tr>
      <w:tr w:rsidR="00B83D39">
        <w:trPr>
          <w:jc w:val="center"/>
        </w:trPr>
        <w:tc>
          <w:tcPr>
            <w:tcW w:w="27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D39" w:rsidRDefault="00D61754">
            <w:pPr>
              <w:spacing w:line="257" w:lineRule="atLeast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Užsienio kalba (anglų, prancūzų ar vokiečių)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70 (2)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70 (2)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70 (2)</w:t>
            </w:r>
          </w:p>
        </w:tc>
        <w:tc>
          <w:tcPr>
            <w:tcW w:w="16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210 (6)</w:t>
            </w:r>
          </w:p>
        </w:tc>
      </w:tr>
      <w:tr w:rsidR="00B83D3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D39" w:rsidRDefault="00B83D39">
            <w:pPr>
              <w:rPr>
                <w:sz w:val="20"/>
                <w:lang w:eastAsia="lt-LT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1–2 klasė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3–4 klasė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D39" w:rsidRDefault="00B83D39">
            <w:pPr>
              <w:rPr>
                <w:sz w:val="20"/>
                <w:lang w:eastAsia="lt-LT"/>
              </w:rPr>
            </w:pPr>
          </w:p>
        </w:tc>
      </w:tr>
      <w:tr w:rsidR="00B83D3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D39" w:rsidRDefault="00B83D39">
            <w:pPr>
              <w:rPr>
                <w:sz w:val="20"/>
                <w:lang w:eastAsia="lt-LT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70 (2)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140 (4)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D39" w:rsidRDefault="00B83D39">
            <w:pPr>
              <w:rPr>
                <w:sz w:val="20"/>
                <w:lang w:eastAsia="lt-LT"/>
              </w:rPr>
            </w:pPr>
          </w:p>
        </w:tc>
      </w:tr>
      <w:tr w:rsidR="00B83D39">
        <w:trPr>
          <w:jc w:val="center"/>
        </w:trPr>
        <w:tc>
          <w:tcPr>
            <w:tcW w:w="27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D39" w:rsidRDefault="00D61754">
            <w:pPr>
              <w:spacing w:line="257" w:lineRule="atLeast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Matematika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140 (4)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175 (5)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140 (4)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175 (5)</w:t>
            </w:r>
          </w:p>
        </w:tc>
        <w:tc>
          <w:tcPr>
            <w:tcW w:w="16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630 (18)</w:t>
            </w:r>
          </w:p>
        </w:tc>
      </w:tr>
      <w:tr w:rsidR="00B83D3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D39" w:rsidRDefault="00B83D39">
            <w:pPr>
              <w:rPr>
                <w:sz w:val="20"/>
                <w:lang w:eastAsia="lt-LT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1–2 klasė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3–4 klasė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D39" w:rsidRDefault="00B83D39">
            <w:pPr>
              <w:rPr>
                <w:sz w:val="20"/>
                <w:lang w:eastAsia="lt-LT"/>
              </w:rPr>
            </w:pPr>
          </w:p>
        </w:tc>
      </w:tr>
      <w:tr w:rsidR="00B83D3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D39" w:rsidRDefault="00B83D39">
            <w:pPr>
              <w:rPr>
                <w:sz w:val="20"/>
                <w:lang w:eastAsia="lt-LT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315 (4; 5)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315 (4; 5)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D39" w:rsidRDefault="00B83D39">
            <w:pPr>
              <w:rPr>
                <w:sz w:val="20"/>
                <w:lang w:eastAsia="lt-LT"/>
              </w:rPr>
            </w:pPr>
          </w:p>
        </w:tc>
      </w:tr>
      <w:tr w:rsidR="00B83D39">
        <w:trPr>
          <w:jc w:val="center"/>
        </w:trPr>
        <w:tc>
          <w:tcPr>
            <w:tcW w:w="27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D39" w:rsidRDefault="00D61754">
            <w:pPr>
              <w:spacing w:line="257" w:lineRule="atLeast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Pasaulio pažinimas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70 (2)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70 (2)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70 (2)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70 (2)</w:t>
            </w:r>
          </w:p>
        </w:tc>
        <w:tc>
          <w:tcPr>
            <w:tcW w:w="16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280 (8)</w:t>
            </w:r>
          </w:p>
        </w:tc>
      </w:tr>
      <w:tr w:rsidR="00B83D3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D39" w:rsidRDefault="00B83D39">
            <w:pPr>
              <w:rPr>
                <w:sz w:val="20"/>
                <w:lang w:eastAsia="lt-LT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1–2 klasė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3–4 klasė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D39" w:rsidRDefault="00B83D39">
            <w:pPr>
              <w:rPr>
                <w:sz w:val="20"/>
                <w:lang w:eastAsia="lt-LT"/>
              </w:rPr>
            </w:pPr>
          </w:p>
        </w:tc>
      </w:tr>
      <w:tr w:rsidR="00B83D3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D39" w:rsidRDefault="00B83D39">
            <w:pPr>
              <w:rPr>
                <w:sz w:val="20"/>
                <w:lang w:eastAsia="lt-LT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140 (2; 2)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140 (2; 2)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D39" w:rsidRDefault="00B83D39">
            <w:pPr>
              <w:rPr>
                <w:sz w:val="20"/>
                <w:lang w:eastAsia="lt-LT"/>
              </w:rPr>
            </w:pPr>
          </w:p>
        </w:tc>
      </w:tr>
      <w:tr w:rsidR="00B83D39">
        <w:trPr>
          <w:jc w:val="center"/>
        </w:trPr>
        <w:tc>
          <w:tcPr>
            <w:tcW w:w="27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D39" w:rsidRDefault="00D61754">
            <w:pPr>
              <w:spacing w:line="257" w:lineRule="atLeast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Meninis ugdymas (dailė ir technologijos, muzika, šokis***, teatras***)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140 (4)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140 (4)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140 (4)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140/105 * (4/3*)</w:t>
            </w:r>
          </w:p>
        </w:tc>
        <w:tc>
          <w:tcPr>
            <w:tcW w:w="16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560 (16/15*)</w:t>
            </w:r>
          </w:p>
        </w:tc>
      </w:tr>
      <w:tr w:rsidR="00B83D3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D39" w:rsidRDefault="00B83D39">
            <w:pPr>
              <w:rPr>
                <w:sz w:val="20"/>
                <w:lang w:eastAsia="lt-LT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1–2 klasė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3–4 klasė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D39" w:rsidRDefault="00B83D39">
            <w:pPr>
              <w:rPr>
                <w:sz w:val="20"/>
                <w:lang w:eastAsia="lt-LT"/>
              </w:rPr>
            </w:pPr>
          </w:p>
        </w:tc>
      </w:tr>
      <w:tr w:rsidR="00B83D3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D39" w:rsidRDefault="00B83D39">
            <w:pPr>
              <w:rPr>
                <w:sz w:val="20"/>
                <w:lang w:eastAsia="lt-LT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280 (4; 4)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280/245* (4; 4/4*; 3*)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D39" w:rsidRDefault="00B83D39">
            <w:pPr>
              <w:rPr>
                <w:sz w:val="20"/>
                <w:lang w:eastAsia="lt-LT"/>
              </w:rPr>
            </w:pPr>
          </w:p>
        </w:tc>
      </w:tr>
      <w:tr w:rsidR="00B83D39">
        <w:trPr>
          <w:jc w:val="center"/>
        </w:trPr>
        <w:tc>
          <w:tcPr>
            <w:tcW w:w="27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D39" w:rsidRDefault="00D61754">
            <w:pPr>
              <w:spacing w:line="257" w:lineRule="atLeast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Fizinis ugdymas**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105 (3)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105 (3)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105 (3)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105 (3)</w:t>
            </w:r>
          </w:p>
        </w:tc>
        <w:tc>
          <w:tcPr>
            <w:tcW w:w="16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420 (12)</w:t>
            </w:r>
          </w:p>
        </w:tc>
      </w:tr>
      <w:tr w:rsidR="00B83D3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D39" w:rsidRDefault="00B83D39">
            <w:pPr>
              <w:rPr>
                <w:sz w:val="20"/>
                <w:lang w:eastAsia="lt-LT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1–2 klasė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3–4 klasė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D39" w:rsidRDefault="00B83D39">
            <w:pPr>
              <w:rPr>
                <w:sz w:val="20"/>
                <w:lang w:eastAsia="lt-LT"/>
              </w:rPr>
            </w:pPr>
          </w:p>
        </w:tc>
      </w:tr>
      <w:tr w:rsidR="00B83D3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D39" w:rsidRDefault="00B83D39">
            <w:pPr>
              <w:rPr>
                <w:sz w:val="20"/>
                <w:lang w:eastAsia="lt-LT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210 (3; 3)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210 (3; 3)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D39" w:rsidRDefault="00B83D39">
            <w:pPr>
              <w:rPr>
                <w:sz w:val="20"/>
                <w:lang w:eastAsia="lt-LT"/>
              </w:rPr>
            </w:pPr>
          </w:p>
        </w:tc>
      </w:tr>
      <w:tr w:rsidR="00B83D39">
        <w:trPr>
          <w:jc w:val="center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D39" w:rsidRDefault="00D61754">
            <w:pPr>
              <w:spacing w:line="257" w:lineRule="atLeast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Iš viso privalomų pamokų skaičius per mokslo metus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770/910* (22/26*)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840/980* (24/28*)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805/980* (23/28*)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840/980* (24/28*)</w:t>
            </w:r>
          </w:p>
        </w:tc>
        <w:tc>
          <w:tcPr>
            <w:tcW w:w="16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3 255/3 850*</w:t>
            </w:r>
          </w:p>
          <w:p w:rsidR="00B83D39" w:rsidRDefault="00B83D39">
            <w:pPr>
              <w:ind w:firstLine="53"/>
              <w:rPr>
                <w:sz w:val="20"/>
                <w:lang w:eastAsia="lt-LT"/>
              </w:rPr>
            </w:pPr>
          </w:p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(93/110*)</w:t>
            </w:r>
          </w:p>
        </w:tc>
      </w:tr>
      <w:tr w:rsidR="00B83D39">
        <w:trPr>
          <w:jc w:val="center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D39" w:rsidRDefault="00D61754">
            <w:pPr>
              <w:spacing w:line="257" w:lineRule="atLeast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Iš viso privalomų pamokų skaičius per dvejus mokslo metus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1 610/1 890 </w:t>
            </w:r>
            <w:r>
              <w:rPr>
                <w:sz w:val="20"/>
                <w:lang w:eastAsia="lt-LT"/>
              </w:rPr>
              <w:t>*</w:t>
            </w:r>
          </w:p>
          <w:p w:rsidR="00B83D39" w:rsidRDefault="00B83D39">
            <w:pPr>
              <w:ind w:firstLine="53"/>
              <w:rPr>
                <w:sz w:val="20"/>
                <w:lang w:eastAsia="lt-LT"/>
              </w:rPr>
            </w:pPr>
          </w:p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(22/26*; 24; 28*)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1 645/1 960*</w:t>
            </w:r>
          </w:p>
          <w:p w:rsidR="00B83D39" w:rsidRDefault="00B83D39">
            <w:pPr>
              <w:ind w:firstLine="53"/>
              <w:rPr>
                <w:sz w:val="20"/>
                <w:lang w:eastAsia="lt-LT"/>
              </w:rPr>
            </w:pPr>
          </w:p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(23/28*; 24/28*)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3D39" w:rsidRDefault="00B83D39">
            <w:pPr>
              <w:rPr>
                <w:sz w:val="20"/>
                <w:lang w:eastAsia="lt-LT"/>
              </w:rPr>
            </w:pPr>
          </w:p>
        </w:tc>
      </w:tr>
      <w:tr w:rsidR="00B83D39">
        <w:trPr>
          <w:jc w:val="center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D39" w:rsidRDefault="00D61754">
            <w:pPr>
              <w:spacing w:line="257" w:lineRule="atLeast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Pamokos, skiriamos mokinių ugdymosi poreikiams tenkinti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70/35* (2/1*)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105/70* (3/2*)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175/105*</w:t>
            </w:r>
          </w:p>
          <w:p w:rsidR="00B83D39" w:rsidRDefault="00B83D39">
            <w:pPr>
              <w:ind w:firstLine="53"/>
              <w:rPr>
                <w:sz w:val="20"/>
                <w:lang w:eastAsia="lt-LT"/>
              </w:rPr>
            </w:pPr>
          </w:p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(5/3*)</w:t>
            </w:r>
          </w:p>
        </w:tc>
      </w:tr>
      <w:tr w:rsidR="00B83D39">
        <w:trPr>
          <w:jc w:val="center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D39" w:rsidRDefault="00D61754">
            <w:pPr>
              <w:spacing w:line="257" w:lineRule="atLeast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Neformalusis švietimas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140 (4)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140 (4)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3D39" w:rsidRDefault="00D61754">
            <w:pPr>
              <w:spacing w:line="257" w:lineRule="atLeast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280 (8)</w:t>
            </w:r>
          </w:p>
        </w:tc>
      </w:tr>
    </w:tbl>
    <w:p w:rsidR="00B83D39" w:rsidRDefault="00D61754">
      <w:pPr>
        <w:jc w:val="both"/>
        <w:rPr>
          <w:color w:val="000000"/>
          <w:sz w:val="20"/>
          <w:lang w:eastAsia="lt-LT"/>
        </w:rPr>
      </w:pPr>
      <w:r>
        <w:rPr>
          <w:color w:val="000000"/>
          <w:sz w:val="20"/>
          <w:lang w:eastAsia="lt-LT"/>
        </w:rPr>
        <w:t>Pastabos:</w:t>
      </w:r>
    </w:p>
    <w:p w:rsidR="00B83D39" w:rsidRDefault="00D61754">
      <w:pPr>
        <w:jc w:val="both"/>
        <w:rPr>
          <w:color w:val="000000"/>
          <w:sz w:val="20"/>
          <w:lang w:eastAsia="lt-LT"/>
        </w:rPr>
      </w:pPr>
      <w:r>
        <w:rPr>
          <w:color w:val="000000"/>
          <w:sz w:val="20"/>
          <w:lang w:eastAsia="lt-LT"/>
        </w:rPr>
        <w:lastRenderedPageBreak/>
        <w:t xml:space="preserve">* mokykloje, kurios nuostatose </w:t>
      </w:r>
      <w:r>
        <w:rPr>
          <w:color w:val="000000"/>
          <w:sz w:val="20"/>
          <w:lang w:eastAsia="lt-LT"/>
        </w:rPr>
        <w:t>(įstatuose) įteisintas mokymas tautinės mažumos kalba;</w:t>
      </w:r>
    </w:p>
    <w:p w:rsidR="00B83D39" w:rsidRDefault="00D61754">
      <w:pPr>
        <w:jc w:val="both"/>
        <w:rPr>
          <w:color w:val="000000"/>
          <w:sz w:val="20"/>
          <w:lang w:eastAsia="lt-LT"/>
        </w:rPr>
      </w:pPr>
      <w:r>
        <w:rPr>
          <w:color w:val="000000"/>
          <w:sz w:val="20"/>
          <w:lang w:eastAsia="lt-LT"/>
        </w:rPr>
        <w:t>** fizinis ugdymas įgyvendinamas pagal pradinio ugdymo Kūno kultūros bendrąją programą;</w:t>
      </w:r>
    </w:p>
    <w:p w:rsidR="00B83D39" w:rsidRDefault="00D61754" w:rsidP="00D61754">
      <w:pPr>
        <w:jc w:val="both"/>
        <w:rPr>
          <w:szCs w:val="24"/>
        </w:rPr>
      </w:pPr>
      <w:r>
        <w:rPr>
          <w:color w:val="000000"/>
          <w:sz w:val="20"/>
          <w:lang w:eastAsia="lt-LT"/>
        </w:rPr>
        <w:t xml:space="preserve">*** </w:t>
      </w:r>
      <w:r>
        <w:rPr>
          <w:rFonts w:ascii="HelveticaLT" w:hAnsi="HelveticaLT"/>
          <w:color w:val="000000"/>
          <w:sz w:val="20"/>
        </w:rPr>
        <w:t> </w:t>
      </w:r>
      <w:r>
        <w:rPr>
          <w:color w:val="000000"/>
          <w:sz w:val="22"/>
          <w:szCs w:val="22"/>
        </w:rPr>
        <w:t xml:space="preserve">šokio ir teatro mokoma integruotai, taikant dalyko elementus per įvairių dalykų pamokas, ar kaip atskiru </w:t>
      </w:r>
      <w:r>
        <w:rPr>
          <w:color w:val="000000"/>
          <w:sz w:val="22"/>
          <w:szCs w:val="22"/>
        </w:rPr>
        <w:t>dalyku, tam naudojant neformaliojo vaikų švietimo valandas, ar valandas, skirtas mokinių poreikiams tenkinti.“</w:t>
      </w:r>
    </w:p>
    <w:p w:rsidR="00B83D39" w:rsidRDefault="00D61754">
      <w:pPr>
        <w:rPr>
          <w:sz w:val="2"/>
          <w:szCs w:val="2"/>
        </w:rPr>
      </w:pPr>
    </w:p>
    <w:p w:rsidR="00B83D39" w:rsidRDefault="00D61754">
      <w:pPr>
        <w:overflowPunct w:val="0"/>
        <w:ind w:firstLine="1253"/>
        <w:jc w:val="both"/>
        <w:textAlignment w:val="baseline"/>
        <w:rPr>
          <w:szCs w:val="24"/>
        </w:rPr>
      </w:pPr>
      <w:r>
        <w:rPr>
          <w:szCs w:val="24"/>
        </w:rPr>
        <w:t>8</w:t>
      </w:r>
      <w:r>
        <w:rPr>
          <w:szCs w:val="24"/>
        </w:rPr>
        <w:t>. Pripažįstu netekusiu galios 82.5.1 papunktį.</w:t>
      </w:r>
    </w:p>
    <w:p w:rsidR="00B83D39" w:rsidRDefault="00D61754">
      <w:pPr>
        <w:rPr>
          <w:sz w:val="2"/>
          <w:szCs w:val="2"/>
        </w:rPr>
      </w:pPr>
    </w:p>
    <w:p w:rsidR="00B83D39" w:rsidRDefault="00D61754">
      <w:pPr>
        <w:overflowPunct w:val="0"/>
        <w:ind w:firstLine="1253"/>
        <w:jc w:val="both"/>
        <w:textAlignment w:val="baseline"/>
        <w:rPr>
          <w:szCs w:val="24"/>
        </w:rPr>
      </w:pPr>
      <w:r>
        <w:rPr>
          <w:szCs w:val="24"/>
        </w:rPr>
        <w:t>9</w:t>
      </w:r>
      <w:r>
        <w:rPr>
          <w:szCs w:val="24"/>
        </w:rPr>
        <w:t>. Pakeičiu 82.5.3 papunktį ir jį išdėstau taip:</w:t>
      </w:r>
    </w:p>
    <w:p w:rsidR="00B83D39" w:rsidRDefault="00B83D39">
      <w:pPr>
        <w:rPr>
          <w:sz w:val="2"/>
          <w:szCs w:val="2"/>
        </w:rPr>
      </w:pPr>
    </w:p>
    <w:p w:rsidR="00B83D39" w:rsidRDefault="00D61754">
      <w:pPr>
        <w:overflowPunct w:val="0"/>
        <w:ind w:firstLine="1253"/>
        <w:jc w:val="both"/>
        <w:textAlignment w:val="baseline"/>
        <w:rPr>
          <w:color w:val="000000"/>
          <w:szCs w:val="24"/>
        </w:rPr>
      </w:pPr>
      <w:r>
        <w:rPr>
          <w:szCs w:val="24"/>
        </w:rPr>
        <w:t>„</w:t>
      </w:r>
      <w:r>
        <w:rPr>
          <w:color w:val="000000"/>
          <w:szCs w:val="24"/>
        </w:rPr>
        <w:t>82.5.3</w:t>
      </w:r>
      <w:r>
        <w:rPr>
          <w:rFonts w:ascii="HelveticaLT" w:hAnsi="HelveticaLT"/>
          <w:color w:val="000000"/>
          <w:sz w:val="20"/>
          <w:bdr w:val="none" w:sz="0" w:space="0" w:color="auto" w:frame="1"/>
          <w:shd w:val="clear" w:color="auto" w:fill="FFFFFF"/>
        </w:rPr>
        <w:t>. </w:t>
      </w:r>
      <w:r>
        <w:rPr>
          <w:color w:val="000000"/>
          <w:szCs w:val="24"/>
          <w:bdr w:val="none" w:sz="0" w:space="0" w:color="auto" w:frame="1"/>
          <w:shd w:val="clear" w:color="auto" w:fill="FFFFFF"/>
        </w:rPr>
        <w:t xml:space="preserve">šokio </w:t>
      </w:r>
      <w:r>
        <w:rPr>
          <w:color w:val="000000"/>
          <w:szCs w:val="24"/>
          <w:bdr w:val="none" w:sz="0" w:space="0" w:color="auto" w:frame="1"/>
          <w:shd w:val="clear" w:color="auto" w:fill="FFFFFF"/>
        </w:rPr>
        <w:t>ir teatro mokoma integruotai, taikant dalyko elementus per įvairių dalykų pamokas, ar kaip atskiru dalyku, tam naudojant neformaliojo vaikų švietimo valandas, ar valandas, skirtas mokinių poreikiams tenkinti;“.</w:t>
      </w:r>
      <w:r>
        <w:rPr>
          <w:rFonts w:ascii="HelveticaLT" w:hAnsi="HelveticaLT"/>
          <w:color w:val="000000"/>
          <w:szCs w:val="24"/>
          <w:bdr w:val="none" w:sz="0" w:space="0" w:color="auto" w:frame="1"/>
          <w:shd w:val="clear" w:color="auto" w:fill="FFFFFF"/>
        </w:rPr>
        <w:t> </w:t>
      </w:r>
    </w:p>
    <w:p w:rsidR="00B83D39" w:rsidRDefault="00D61754">
      <w:pPr>
        <w:rPr>
          <w:sz w:val="2"/>
          <w:szCs w:val="2"/>
        </w:rPr>
      </w:pPr>
    </w:p>
    <w:p w:rsidR="00B83D39" w:rsidRPr="00D61754" w:rsidRDefault="00D61754" w:rsidP="00D61754">
      <w:pPr>
        <w:overflowPunct w:val="0"/>
        <w:ind w:firstLine="1253"/>
        <w:jc w:val="both"/>
        <w:textAlignment w:val="baseline"/>
        <w:rPr>
          <w:szCs w:val="24"/>
        </w:rPr>
      </w:pPr>
      <w:r w:rsidRPr="00D61754">
        <w:rPr>
          <w:szCs w:val="24"/>
        </w:rPr>
        <w:t>10</w:t>
      </w:r>
      <w:r w:rsidRPr="00D61754">
        <w:rPr>
          <w:szCs w:val="24"/>
        </w:rPr>
        <w:t xml:space="preserve">. Pakeičiu 7 priedo 2.3 papunktį </w:t>
      </w:r>
      <w:r w:rsidRPr="00D61754">
        <w:rPr>
          <w:szCs w:val="24"/>
        </w:rPr>
        <w:t>ir jį išdėstau taip:</w:t>
      </w:r>
    </w:p>
    <w:p w:rsidR="00B83D39" w:rsidRPr="00D61754" w:rsidRDefault="00D61754">
      <w:pPr>
        <w:overflowPunct w:val="0"/>
        <w:ind w:firstLine="1253"/>
        <w:jc w:val="both"/>
        <w:textAlignment w:val="baseline"/>
        <w:rPr>
          <w:szCs w:val="24"/>
        </w:rPr>
      </w:pPr>
      <w:r w:rsidRPr="00D61754">
        <w:rPr>
          <w:szCs w:val="24"/>
        </w:rPr>
        <w:t>„</w:t>
      </w:r>
      <w:r w:rsidRPr="00D61754">
        <w:rPr>
          <w:szCs w:val="24"/>
        </w:rPr>
        <w:t>2.3</w:t>
      </w:r>
      <w:r w:rsidRPr="00D61754">
        <w:rPr>
          <w:szCs w:val="24"/>
        </w:rPr>
        <w:t xml:space="preserve">. </w:t>
      </w:r>
      <w:r w:rsidRPr="00D61754">
        <w:rPr>
          <w:szCs w:val="24"/>
          <w:lang w:val="en-GB"/>
        </w:rPr>
        <w:t xml:space="preserve">30 °C </w:t>
      </w:r>
      <w:r w:rsidRPr="00D61754">
        <w:rPr>
          <w:szCs w:val="24"/>
        </w:rPr>
        <w:t>ar aukštesnė –</w:t>
      </w:r>
      <w:r w:rsidRPr="00D61754">
        <w:rPr>
          <w:szCs w:val="24"/>
          <w:lang w:val="en-GB"/>
        </w:rPr>
        <w:t xml:space="preserve"> 1–10, I–IV </w:t>
      </w:r>
      <w:r w:rsidRPr="00D61754">
        <w:rPr>
          <w:szCs w:val="24"/>
        </w:rPr>
        <w:t>gimnazijos klasių mokiniams</w:t>
      </w:r>
      <w:proofErr w:type="gramStart"/>
      <w:r w:rsidRPr="00D61754">
        <w:rPr>
          <w:szCs w:val="24"/>
          <w:lang w:val="en-GB"/>
        </w:rPr>
        <w:t>.</w:t>
      </w:r>
      <w:r w:rsidRPr="00D61754">
        <w:rPr>
          <w:color w:val="000000"/>
          <w:szCs w:val="24"/>
          <w:lang w:eastAsia="lt-LT"/>
        </w:rPr>
        <w:t>“</w:t>
      </w:r>
      <w:proofErr w:type="gramEnd"/>
    </w:p>
    <w:p w:rsidR="00B83D39" w:rsidRPr="00D61754" w:rsidRDefault="00B83D39">
      <w:pPr>
        <w:overflowPunct w:val="0"/>
        <w:ind w:firstLine="720"/>
        <w:jc w:val="both"/>
        <w:textAlignment w:val="baseline"/>
        <w:rPr>
          <w:szCs w:val="24"/>
          <w:lang w:eastAsia="lt-LT"/>
        </w:rPr>
      </w:pPr>
    </w:p>
    <w:p w:rsidR="00B83D39" w:rsidRPr="00D61754" w:rsidRDefault="00B83D39">
      <w:pPr>
        <w:overflowPunct w:val="0"/>
        <w:ind w:firstLine="629"/>
        <w:jc w:val="both"/>
        <w:textAlignment w:val="baseline"/>
        <w:rPr>
          <w:szCs w:val="24"/>
          <w:lang w:eastAsia="lt-LT"/>
        </w:rPr>
      </w:pPr>
    </w:p>
    <w:p w:rsidR="00B83D39" w:rsidRPr="00D61754" w:rsidRDefault="00B83D39">
      <w:pPr>
        <w:overflowPunct w:val="0"/>
        <w:jc w:val="both"/>
        <w:textAlignment w:val="baseline"/>
        <w:rPr>
          <w:szCs w:val="24"/>
        </w:rPr>
      </w:pPr>
    </w:p>
    <w:p w:rsidR="00B83D39" w:rsidRPr="00D61754" w:rsidRDefault="00D61754" w:rsidP="00D61754">
      <w:pPr>
        <w:tabs>
          <w:tab w:val="left" w:pos="7655"/>
        </w:tabs>
        <w:overflowPunct w:val="0"/>
        <w:textAlignment w:val="baseline"/>
        <w:rPr>
          <w:rFonts w:ascii="HelveticaLT" w:hAnsi="HelveticaLT"/>
          <w:szCs w:val="24"/>
        </w:rPr>
      </w:pPr>
      <w:r w:rsidRPr="00D61754">
        <w:rPr>
          <w:szCs w:val="24"/>
        </w:rPr>
        <w:t>Švietimo, mokslo ir sporto ministrė</w:t>
      </w:r>
      <w:r w:rsidRPr="00D61754">
        <w:rPr>
          <w:szCs w:val="24"/>
        </w:rPr>
        <w:tab/>
        <w:t>Jurgita Šiugždinienė</w:t>
      </w:r>
    </w:p>
    <w:bookmarkStart w:id="0" w:name="_GoBack" w:displacedByCustomXml="next"/>
    <w:bookmarkEnd w:id="0" w:displacedByCustomXml="next"/>
    <w:sectPr w:rsidR="00B83D39" w:rsidRPr="00D61754">
      <w:footerReference w:type="even" r:id="rId13"/>
      <w:footerReference w:type="default" r:id="rId14"/>
      <w:type w:val="continuous"/>
      <w:pgSz w:w="11907" w:h="16840" w:code="9"/>
      <w:pgMar w:top="1138" w:right="562" w:bottom="1238" w:left="1699" w:header="288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39" w:rsidRDefault="00D61754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endnote>
  <w:endnote w:type="continuationSeparator" w:id="0">
    <w:p w:rsidR="00B83D39" w:rsidRDefault="00D61754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D39" w:rsidRDefault="00D61754">
    <w:pPr>
      <w:framePr w:wrap="auto" w:vAnchor="text" w:hAnchor="margin" w:xAlign="right" w:y="1"/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  <w:r>
      <w:rPr>
        <w:rFonts w:ascii="HelveticaLT" w:hAnsi="HelveticaLT"/>
        <w:sz w:val="20"/>
        <w:lang w:val="en-GB"/>
      </w:rPr>
      <w:fldChar w:fldCharType="begin"/>
    </w:r>
    <w:r>
      <w:rPr>
        <w:rFonts w:ascii="HelveticaLT" w:hAnsi="HelveticaLT"/>
        <w:sz w:val="20"/>
        <w:lang w:val="en-GB"/>
      </w:rPr>
      <w:instrText xml:space="preserve">PAGE  </w:instrText>
    </w:r>
    <w:r>
      <w:rPr>
        <w:rFonts w:ascii="HelveticaLT" w:hAnsi="HelveticaLT"/>
        <w:sz w:val="20"/>
        <w:lang w:val="en-GB"/>
      </w:rPr>
      <w:fldChar w:fldCharType="end"/>
    </w:r>
  </w:p>
  <w:p w:rsidR="00B83D39" w:rsidRDefault="00B83D39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D39" w:rsidRDefault="00B83D39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39" w:rsidRDefault="00D61754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footnote>
  <w:footnote w:type="continuationSeparator" w:id="0">
    <w:p w:rsidR="00B83D39" w:rsidRDefault="00D61754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39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377"/>
    <w:rsid w:val="00423377"/>
    <w:rsid w:val="00B83D39"/>
    <w:rsid w:val="00D6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tilde-lv/tildestengine" w:name="firmas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D617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D617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notes" Target="footnotes.xml"/>
  <Relationship Id="rId11" Type="http://schemas.openxmlformats.org/officeDocument/2006/relationships/endnotes" Target="endnotes.xml"/>
  <Relationship Id="rId12" Type="http://schemas.openxmlformats.org/officeDocument/2006/relationships/image" Target="media/image1.png"/>
  <Relationship Id="rId13" Type="http://schemas.openxmlformats.org/officeDocument/2006/relationships/footer" Target="footer1.xml"/>
  <Relationship Id="rId14" Type="http://schemas.openxmlformats.org/officeDocument/2006/relationships/footer" Target="footer2.xml"/>
  <Relationship Id="rId15" Type="http://schemas.openxmlformats.org/officeDocument/2006/relationships/fontTable" Target="fontTable.xml"/>
  <Relationship Id="rId16" Type="http://schemas.openxmlformats.org/officeDocument/2006/relationships/glossaryDocument" Target="glossary/document.xml"/>
  <Relationship Id="rId17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5" Type="http://schemas.openxmlformats.org/officeDocument/2006/relationships/customXml" Target="../customXml/item5.xml"/>
  <Relationship Id="rId6" Type="http://schemas.openxmlformats.org/officeDocument/2006/relationships/styles" Target="styles.xml"/>
  <Relationship Id="rId7" Type="http://schemas.microsoft.com/office/2007/relationships/stylesWithEffects" Target="stylesWithEffects.xml"/>
  <Relationship Id="rId8" Type="http://schemas.openxmlformats.org/officeDocument/2006/relationships/settings" Target="settings.xml"/>
  <Relationship Id="rId9" Type="http://schemas.openxmlformats.org/officeDocument/2006/relationships/webSettings" Target="webSettings.xml"/>
</Relationships>

</file>

<file path=word/glossary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</Relationships>
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0560680-229B-4270-8744-CB9B79B21E9E}"/>
      </w:docPartPr>
      <w:docPartBody>
        <w:p w:rsidR="00000000" w:rsidRDefault="007D596F">
          <w:r w:rsidRPr="00CF2B1F">
            <w:rPr>
              <w:rStyle w:val="Vietosrezervavimoenklotekstas"/>
            </w:rPr>
            <w:t>Spustelėkite čia, jei norite įvesti tekstą.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6F"/>
    <w:rsid w:val="007D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7D596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7D596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5.xml.rels><?xml version="1.0" encoding="UTF-8"?>

<Relationships xmlns="http://schemas.openxmlformats.org/package/2006/relationships">
  <Relationship Id="rId1" Type="http://schemas.openxmlformats.org/officeDocument/2006/relationships/customXmlProps" Target="itemProps5.xml"/>
</Relationships>
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C209C-B282-4750-BD22-DC6B8D7589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5BA82B-5414-47DC-922C-6E135F30B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AC8B12-5D0A-4811-A815-9BDD4A298B8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1A38874-3EE5-4ED3-95C8-55A8DD03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913</Words>
  <Characters>5198</Characters>
  <Application>Microsoft Office Word</Application>
  <DocSecurity>0</DocSecurity>
  <Lines>43</Lines>
  <Paragraphs>12</Paragraphs>
  <ScaleCrop>false</ScaleCrop>
  <Company>VKS</Company>
  <LinksUpToDate>false</LinksUpToDate>
  <CharactersWithSpaces>6099</CharactersWithSpaces>
  <SharedDoc>false</SharedDoc>
  <HyperlinkBase/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2021-05-25T08:13:00Z</dcterms:created>
  <dc:creator>Šuminienė Audronė</dc:creator>
  <lastModifiedBy>JUOSPONIENĖ Karolina</lastModifiedBy>
  <lastPrinted>2019-04-16T05:21:00Z</lastPrinted>
  <dcterms:modified xsi:type="dcterms:W3CDTF">2021-05-25T08:27:00Z</dcterms:modified>
  <revision>3</revision>
  <dc:title>9fe558a7-1b87-4e30-b430-5909b2485434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0x010100D8ECFFBDDA118244861569856C5AC6C3</vt:lpwstr>
  </property>
  <property fmtid="{D5CDD505-2E9C-101B-9397-08002B2CF9AE}" pid="4" name="Komentarai">
    <vt:lpwstr>Koreguota po vizavimo</vt:lpwstr>
  </property>
</Properties>
</file>